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ПОЛИТИКА ОПЛАТЫ</w:t>
      </w:r>
    </w:p>
    <w:p>
      <w:pPr>
        <w:jc w:val="center"/>
      </w:pPr>
      <w:r>
        <w:t>Редакция от 18 сентября 2026 года</w:t>
      </w:r>
    </w:p>
    <w:p>
      <w:r>
        <w:t>Политика применяется к онлайн-платежам за заказы в Sarqyt.</w:t>
      </w:r>
    </w:p>
    <w:p>
      <w:pPr>
        <w:pStyle w:val="Heading1"/>
      </w:pPr>
      <w:r>
        <w:t>1. Сумма и подтверждение</w:t>
      </w:r>
    </w:p>
    <w:p>
      <w:r>
        <w:t>До оплаты показываются цена Бокса, цена за сервис и итог. Валюта — тенге Республики Казахстан. Оплата считается успешной после подтверждения платёжного провайдера; неуспешный или истёкший платёж не создаёт заказ.</w:t>
      </w:r>
    </w:p>
    <w:p>
      <w:pPr>
        <w:pStyle w:val="Heading1"/>
      </w:pPr>
      <w:r>
        <w:t>2. Безопасность</w:t>
      </w:r>
    </w:p>
    <w:p>
      <w:r>
        <w:t>Платёж обрабатывается внешним платёжным провайдером. Sarqyt хранит лишь сумму, валюту, статус и идентификатор операции, необходимые для сверки, поддержки и возврата; данные карты не хранятся.</w:t>
      </w:r>
    </w:p>
    <w:p>
      <w:pPr>
        <w:pStyle w:val="Heading1"/>
      </w:pPr>
      <w:r>
        <w:t>3. Возвраты и спорные списания</w:t>
      </w:r>
    </w:p>
    <w:p>
      <w:r>
        <w:t>Возврат производится в предусмотренных правилами случаях тем же способом оплаты. При двойном списании или отсутствии заказа покупатель направляет номер/время операции и контакт в поддержку; Sarqyt проводит сверку с провайдером. Незаконное оспаривание законно исполненного платежа не освобождает от обязанности оплатить заказ.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