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ТАРИФЫ И КОМИССИИ</w:t>
      </w:r>
    </w:p>
    <w:p>
      <w:pPr>
        <w:jc w:val="center"/>
      </w:pPr>
      <w:r>
        <w:t>Редакция от 18 сентября 2026 года</w:t>
      </w:r>
    </w:p>
    <w:p>
      <w:r>
        <w:t>Этот документ является приложением к договору/оферте с Партнёром и применяется, если индивидуальные условия не согласованы письменно.</w:t>
      </w:r>
    </w:p>
    <w:p>
      <w:pPr>
        <w:pStyle w:val="Heading1"/>
      </w:pPr>
      <w:r>
        <w:t>1. Стандартный тариф</w:t>
      </w:r>
    </w:p>
    <w:p>
      <w:r>
        <w:t>Цена за сервис Sarqyt, оплачиваемая покупателем сверх цены Бокса: 25% цены Бокса. Процент исчисляется от цены Бокса; результат округляется до ближайшего тенге.</w:t>
      </w:r>
    </w:p>
    <w:p>
      <w:r>
        <w:t>Партнёру перечисляется 100% установленной им цены Бокса по завершённым заказам. Сервисный сбор Sarqyt не является удержанием из выручки Партнёра. Эквайринговые и банковские расходы в настоящий тариф включаются в сервисный сбор, если индивидуально не согласовано иное.</w:t>
      </w:r>
    </w:p>
    <w:p>
      <w:pPr>
        <w:pStyle w:val="Heading1"/>
      </w:pPr>
      <w:r>
        <w:t>2. Индивидуальные тарифы</w:t>
      </w:r>
    </w:p>
    <w:p>
      <w:r>
        <w:t>Для отдельного Партнёра Sarqyt вправе установить иную фиксированную часть, процент, периодичность выплаты или иной способ расчёта только в письменном соглашении либо в подтверждённой настройке кабинета с сохранением версии условий.</w:t>
      </w:r>
    </w:p>
    <w:p>
      <w:pPr>
        <w:pStyle w:val="Heading1"/>
      </w:pPr>
      <w:r>
        <w:t>3. Изменение</w:t>
      </w:r>
    </w:p>
    <w:p>
      <w:r>
        <w:t>Об изменении стандартного тарифа Sarqyt уведомляет Партнёра через кабинет и/или e-mail минимум за 10 календарных дней. Тариф не меняет стоимость уже оплаченных заказов и расчёты по ним.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